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  <w:rPr>
          <w:rFonts w:ascii="Londrina Shadow" w:cs="Londrina Shadow" w:eastAsia="Londrina Shadow" w:hAnsi="Londrina Shadow"/>
          <w:b w:val="1"/>
          <w:sz w:val="48"/>
          <w:szCs w:val="48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48"/>
          <w:szCs w:val="48"/>
          <w:rtl w:val="0"/>
        </w:rPr>
        <w:t xml:space="preserve">UNIT 9 ANCIENT INDIA VOCABULARY FOLDABLE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  <w:rPr>
          <w:rFonts w:ascii="Fredericka the Great" w:cs="Fredericka the Great" w:eastAsia="Fredericka the Great" w:hAnsi="Fredericka the Gre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730.0" w:type="dxa"/>
        <w:jc w:val="left"/>
        <w:tblInd w:w="-4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4410"/>
        <w:gridCol w:w="2610"/>
        <w:gridCol w:w="2265"/>
        <w:tblGridChange w:id="0">
          <w:tblGrid>
            <w:gridCol w:w="2445"/>
            <w:gridCol w:w="4410"/>
            <w:gridCol w:w="2610"/>
            <w:gridCol w:w="2265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TERM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Black Ops One" w:cs="Black Ops One" w:eastAsia="Black Ops One" w:hAnsi="Black Ops O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DEFINITION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Black Ops One" w:cs="Black Ops One" w:eastAsia="Black Ops One" w:hAnsi="Black Ops One"/>
                <w:sz w:val="24"/>
                <w:szCs w:val="24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[HIGHLIGHT KEY WORDS]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KEY WORDS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Black Ops One" w:cs="Black Ops One" w:eastAsia="Black Ops One" w:hAnsi="Black Ops One"/>
                <w:sz w:val="24"/>
                <w:szCs w:val="24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[WRITE IT OUT]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Ranchers" w:cs="Ranchers" w:eastAsia="Ranchers" w:hAnsi="Ranchers"/>
                <w:sz w:val="28"/>
                <w:szCs w:val="28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Black Ops One" w:cs="Black Ops One" w:eastAsia="Black Ops One" w:hAnsi="Black Ops One"/>
                <w:sz w:val="24"/>
                <w:szCs w:val="24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[IN COLOR]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INDUS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&amp;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GANGES RIVER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The rivers w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here the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 I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ndus Civilization settled along.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60" w:lineRule="auto"/>
              <w:ind w:left="720" w:hanging="360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Provided them with resources, fertile land due to irrigation, trade, 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&amp;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 transportation.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MONSOONS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A seasonal wind that causes wet and dry seasons.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60" w:lineRule="auto"/>
              <w:ind w:left="720" w:hanging="360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Effects which crops they can grow and when they can grow them.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PENINSULA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An area of land surrounded by water on three sides.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60" w:lineRule="auto"/>
              <w:ind w:left="720" w:hanging="360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Provided them with resources, trade, 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&amp;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 transportation.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HIMALAYAS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The mountain range in 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ndia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60" w:lineRule="auto"/>
              <w:ind w:left="720" w:hanging="360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Provided a natural border of protection between India 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&amp;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 China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NATURAL RESOURCES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Resources found in nature and used for trading with civilization who didn’t have access to them.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Creates trade opportunities [+] 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&amp; 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competition over resources [-]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60" w:lineRule="auto"/>
              <w:ind w:left="720" w:hanging="360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EX: gemstones, coal, oil, silver, etc.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SANSKRIT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The first language of Ancient 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ndia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60" w:lineRule="auto"/>
              <w:ind w:left="720" w:hanging="360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Allowed them to keep records.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CASTE SYSTEM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The social hierarchy of 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ndia created by the Aryans that divided 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ndian society into groups based on a person’s birth, wealth, or occupation.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60" w:lineRule="auto"/>
              <w:ind w:left="720" w:hanging="360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There was 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u w:val="single"/>
                <w:rtl w:val="0"/>
              </w:rPr>
              <w:t xml:space="preserve">NO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 moving between castes during that lifetime.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BRAHMINS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Priests, from the highest social class in the caste system.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Margarine" w:cs="Margarine" w:eastAsia="Margarine" w:hAnsi="Margarin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Received many advantages.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Often served as advisors to rulers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MISSIONARIES 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People who work to spread their religious beliefs.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60" w:lineRule="auto"/>
              <w:ind w:left="720" w:hanging="36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Example of cultural diffusion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Denk One" w:cs="Denk One" w:eastAsia="Denk One" w:hAnsi="Denk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sz w:val="36"/>
                <w:szCs w:val="36"/>
                <w:rtl w:val="0"/>
              </w:rPr>
              <w:t xml:space="preserve">GOLDEN AGE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A time period of prosperity (wealth), peace, and progress (expansion and growth) during the Gupta Empire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60" w:lineRule="auto"/>
              <w:ind w:left="720" w:hanging="360"/>
              <w:rPr>
                <w:rFonts w:ascii="Chau Philomene One" w:cs="Chau Philomene One" w:eastAsia="Chau Philomene One" w:hAnsi="Chau Philomene One"/>
                <w:sz w:val="24"/>
                <w:szCs w:val="24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Advancements in arts, science, </w:t>
            </w:r>
            <w:r w:rsidDel="00000000" w:rsidR="00000000" w:rsidRPr="00000000">
              <w:rPr>
                <w:rFonts w:ascii="McLaren" w:cs="McLaren" w:eastAsia="McLaren" w:hAnsi="McLaren"/>
                <w:sz w:val="24"/>
                <w:szCs w:val="24"/>
                <w:rtl w:val="0"/>
              </w:rPr>
              <w:t xml:space="preserve">&amp;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4"/>
                <w:szCs w:val="24"/>
                <w:rtl w:val="0"/>
              </w:rPr>
              <w:t xml:space="preserve">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8070"/>
        </w:tabs>
        <w:spacing w:after="200" w:line="276" w:lineRule="auto"/>
        <w:contextualSpacing w:val="0"/>
        <w:jc w:val="left"/>
        <w:rPr>
          <w:rFonts w:ascii="Alfa Slab One" w:cs="Alfa Slab One" w:eastAsia="Alfa Slab One" w:hAnsi="Alfa Slab One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Black Ops One">
    <w:embedRegular w:fontKey="{00000000-0000-0000-0000-000000000000}" r:id="rId1" w:subsetted="0"/>
  </w:font>
  <w:font w:name="Chau Philomene One">
    <w:embedRegular w:fontKey="{00000000-0000-0000-0000-000000000000}" r:id="rId2" w:subsetted="0"/>
    <w:embedItalic w:fontKey="{00000000-0000-0000-0000-000000000000}" r:id="rId3" w:subsetted="0"/>
  </w:font>
  <w:font w:name="Ranchers">
    <w:embedRegular w:fontKey="{00000000-0000-0000-0000-000000000000}" r:id="rId4" w:subsetted="0"/>
  </w:font>
  <w:font w:name="Fredericka the Great">
    <w:embedRegular w:fontKey="{00000000-0000-0000-0000-000000000000}" r:id="rId5" w:subsetted="0"/>
  </w:font>
  <w:font w:name="Denk One">
    <w:embedRegular w:fontKey="{00000000-0000-0000-0000-000000000000}" r:id="rId6" w:subsetted="0"/>
  </w:font>
  <w:font w:name="Margarine">
    <w:embedRegular w:fontKey="{00000000-0000-0000-0000-000000000000}" r:id="rId7" w:subsetted="0"/>
  </w:font>
  <w:font w:name="McLaren">
    <w:embedRegular w:fontKey="{00000000-0000-0000-0000-000000000000}" r:id="rId8" w:subsetted="0"/>
  </w:font>
  <w:font w:name="Londrina Shadow">
    <w:embedRegular w:fontKey="{00000000-0000-0000-0000-000000000000}" r:id="rId9" w:subsetted="0"/>
  </w:font>
  <w:font w:name="Alfa Slab One">
    <w:embedRegular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lackOpsOne-regular.ttf"/><Relationship Id="rId2" Type="http://schemas.openxmlformats.org/officeDocument/2006/relationships/font" Target="fonts/ChauPhilomeneOne-regular.ttf"/><Relationship Id="rId3" Type="http://schemas.openxmlformats.org/officeDocument/2006/relationships/font" Target="fonts/ChauPhilomeneOne-italic.ttf"/><Relationship Id="rId4" Type="http://schemas.openxmlformats.org/officeDocument/2006/relationships/font" Target="fonts/Ranchers-regular.ttf"/><Relationship Id="rId10" Type="http://schemas.openxmlformats.org/officeDocument/2006/relationships/font" Target="fonts/AlfaSlabOne-regular.ttf"/><Relationship Id="rId9" Type="http://schemas.openxmlformats.org/officeDocument/2006/relationships/font" Target="fonts/LondrinaShadow-regular.ttf"/><Relationship Id="rId5" Type="http://schemas.openxmlformats.org/officeDocument/2006/relationships/font" Target="fonts/FrederickatheGreat-regular.ttf"/><Relationship Id="rId6" Type="http://schemas.openxmlformats.org/officeDocument/2006/relationships/font" Target="fonts/DenkOne-regular.ttf"/><Relationship Id="rId7" Type="http://schemas.openxmlformats.org/officeDocument/2006/relationships/font" Target="fonts/Margarine-regular.ttf"/><Relationship Id="rId8" Type="http://schemas.openxmlformats.org/officeDocument/2006/relationships/font" Target="fonts/McLaren-regular.ttf"/></Relationships>
</file>